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5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Кабардино-Балкарская Республика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«Кабардино-Балкарский автомобильно-дорожный колледж»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b/>
          <w:sz w:val="40"/>
          <w:szCs w:val="40"/>
          <w:lang w:eastAsia="ru-RU"/>
        </w:rPr>
        <w:t xml:space="preserve">РАБОЧАЯ ПРОГРАММА УЧЕБНОЙ ДИСЦИПЛИНЫ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40"/>
          <w:szCs w:val="40"/>
          <w:lang w:eastAsia="ru-RU"/>
        </w:rPr>
      </w:pPr>
      <w:r>
        <w:rPr>
          <w:rFonts w:ascii="Times New Roman" w:hAnsi="Times New Roman" w:eastAsia="Times New Roman" w:cs="Times New Roman"/>
          <w:sz w:val="40"/>
          <w:szCs w:val="40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44"/>
          <w:szCs w:val="4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44"/>
          <w:szCs w:val="44"/>
          <w:lang w:eastAsia="ru-RU"/>
        </w:rPr>
        <w:t xml:space="preserve">ОДБ 13 «ФИЗИЧЕСКАЯ КУЛЬТУРА»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для профессии: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15.01.05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Сварщик (ручной и частично механизированной сварки (наплавки)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Нальчик, 2023 г.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tbl>
      <w:tblPr>
        <w:tblStyle w:val="783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>
        <w:trPr>
          <w:jc w:val="center"/>
          <w:trHeight w:val="1538"/>
        </w:trPr>
        <w:tc>
          <w:tcPr>
            <w:tcW w:w="5670" w:type="dxa"/>
            <w:textDirection w:val="lrTb"/>
            <w:noWrap w:val="false"/>
          </w:tcPr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Рассмотрена на заседании ЦМК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  <w:r/>
          </w:p>
          <w:p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Протокол №___от «__» __________ 2023 г. </w:t>
            </w:r>
            <w:r/>
          </w:p>
          <w:p>
            <w:pPr>
              <w:spacing w:line="253" w:lineRule="exact"/>
              <w:tabs>
                <w:tab w:val="left" w:pos="4307" w:leader="none"/>
              </w:tabs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Председатель___________/З. Ш. Шогенова/</w:t>
            </w:r>
            <w:r/>
          </w:p>
        </w:tc>
        <w:tc>
          <w:tcPr>
            <w:tcW w:w="3940" w:type="dxa"/>
            <w:textDirection w:val="lrTb"/>
            <w:noWrap w:val="false"/>
          </w:tcPr>
          <w:p>
            <w:pPr>
              <w:jc w:val="both"/>
              <w:rPr>
                <w:rFonts w:eastAsia="Times New Roman"/>
                <w:spacing w:val="-57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«Утверждаю»</w:t>
            </w:r>
            <w:r>
              <w:rPr>
                <w:rFonts w:eastAsia="Times New Roman"/>
                <w:spacing w:val="-57"/>
                <w:lang w:val="ru-RU"/>
              </w:rPr>
              <w:t xml:space="preserve"> </w:t>
            </w:r>
            <w:r/>
          </w:p>
          <w:p>
            <w:pPr>
              <w:jc w:val="both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 xml:space="preserve">заместитель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директора</w:t>
            </w:r>
            <w:r>
              <w:rPr>
                <w:rFonts w:eastAsia="Times New Roman"/>
                <w:spacing w:val="-2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по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УР</w:t>
            </w:r>
            <w:r>
              <w:rPr>
                <w:rFonts w:eastAsia="Times New Roman"/>
                <w:spacing w:val="-1"/>
                <w:lang w:val="ru-RU"/>
              </w:rPr>
              <w:t xml:space="preserve"> </w:t>
            </w:r>
            <w:r>
              <w:rPr>
                <w:rFonts w:eastAsia="Times New Roman"/>
                <w:lang w:val="ru-RU"/>
              </w:rPr>
              <w:t xml:space="preserve">ГБПОУ «КБАДК»</w:t>
            </w:r>
            <w:r/>
          </w:p>
          <w:p>
            <w:pPr>
              <w:tabs>
                <w:tab w:val="left" w:pos="2990" w:leader="none"/>
              </w:tabs>
              <w:rPr>
                <w:rFonts w:eastAsia="Times New Roman"/>
              </w:rPr>
            </w:pPr>
            <w:r>
              <w:rPr>
                <w:rFonts w:eastAsia="Times New Roman"/>
                <w:lang w:val="ru-RU"/>
              </w:rPr>
              <w:t xml:space="preserve"> </w:t>
            </w:r>
            <w:r>
              <w:rPr>
                <w:rFonts w:eastAsia="Times New Roman"/>
              </w:rPr>
              <w:t xml:space="preserve">___________________С.Ю.</w:t>
            </w:r>
            <w:r>
              <w:rPr>
                <w:rFonts w:eastAsia="Times New Roman"/>
                <w:spacing w:val="-11"/>
              </w:rPr>
              <w:t xml:space="preserve"> </w:t>
            </w:r>
            <w:r>
              <w:rPr>
                <w:rFonts w:eastAsia="Times New Roman"/>
              </w:rPr>
              <w:t xml:space="preserve">Какулина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32"/>
          <w:szCs w:val="24"/>
        </w:rPr>
      </w:pPr>
      <w:r>
        <w:rPr>
          <w:rFonts w:ascii="Times New Roman" w:hAnsi="Times New Roman" w:eastAsia="Times New Roman" w:cs="Times New Roman"/>
          <w:b/>
          <w:sz w:val="32"/>
          <w:szCs w:val="24"/>
        </w:rPr>
      </w:r>
      <w:r/>
    </w:p>
    <w:p>
      <w:pPr>
        <w:jc w:val="both"/>
        <w:spacing w:after="0" w:line="360" w:lineRule="auto"/>
        <w:widowControl w:val="off"/>
        <w:tabs>
          <w:tab w:val="left" w:pos="7851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Рабочая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учебной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дисциплины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«Физическая культура»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входит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общеобразовательный цикл</w:t>
      </w:r>
      <w:r>
        <w:rPr>
          <w:rFonts w:ascii="Times New Roman" w:hAnsi="Times New Roman" w:eastAsia="Times New Roman" w:cs="Times New Roman"/>
          <w:spacing w:val="33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</w:t>
      </w:r>
      <w:r>
        <w:rPr>
          <w:rFonts w:ascii="Times New Roman" w:hAnsi="Times New Roman" w:eastAsia="Times New Roman" w:cs="Times New Roman"/>
          <w:spacing w:val="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индексом ОДБ 13 и составлена в соответствии с Требованиями к разработке и оформлению рабочих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программ учебных дисциплин, адаптационных дисциплин, профессиональных модулей,</w:t>
      </w:r>
      <w:r>
        <w:rPr>
          <w:rFonts w:ascii="Times New Roman" w:hAnsi="Times New Roman" w:eastAsia="Times New Roman" w:cs="Times New Roman"/>
          <w:spacing w:val="6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учебных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производственных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практик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дополнительного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образования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КБАДК,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рассмотренными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заседании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Методического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совета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ГБПОУ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«КБАДК»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(протокол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t xml:space="preserve">№ 2 от 10 января 2023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г.)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утвержденными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директором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ГБПОУ «КБАДК» по профессии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15.01.05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Сварщик ручной и частично механизированной сварки (наплавки)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».</w:t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6"/>
          <w:szCs w:val="24"/>
        </w:rPr>
      </w:pPr>
      <w:r>
        <w:rPr>
          <w:rFonts w:ascii="Times New Roman" w:hAnsi="Times New Roman" w:eastAsia="Times New Roman" w:cs="Times New Roman"/>
          <w:sz w:val="26"/>
          <w:szCs w:val="24"/>
        </w:rPr>
      </w:r>
      <w:r/>
    </w:p>
    <w:p>
      <w:pPr>
        <w:spacing w:before="8" w:after="0" w:line="240" w:lineRule="auto"/>
        <w:widowControl w:val="off"/>
        <w:rPr>
          <w:rFonts w:ascii="Times New Roman" w:hAnsi="Times New Roman" w:eastAsia="Times New Roman" w:cs="Times New Roman"/>
          <w:sz w:val="33"/>
          <w:szCs w:val="24"/>
        </w:rPr>
      </w:pPr>
      <w:r>
        <w:rPr>
          <w:rFonts w:ascii="Times New Roman" w:hAnsi="Times New Roman" w:eastAsia="Times New Roman" w:cs="Times New Roman"/>
          <w:sz w:val="33"/>
          <w:szCs w:val="24"/>
        </w:rPr>
      </w:r>
      <w:r/>
    </w:p>
    <w:p>
      <w:pPr>
        <w:jc w:val="both"/>
        <w:spacing w:after="0" w:line="362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Организация-разработчик: Государственное бюджетное профессиональное образовательное</w:t>
      </w:r>
      <w:r>
        <w:rPr>
          <w:rFonts w:ascii="Times New Roman" w:hAnsi="Times New Roman" w:eastAsia="Times New Roman" w:cs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учреждение</w:t>
      </w:r>
      <w:r>
        <w:rPr>
          <w:rFonts w:ascii="Times New Roman" w:hAnsi="Times New Roman" w:eastAsia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«Кабардино-Балкарский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автомобильно-дорожный</w:t>
      </w:r>
      <w:r>
        <w:rPr>
          <w:rFonts w:ascii="Times New Roman" w:hAnsi="Times New Roman" w:eastAsia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колледж»</w:t>
      </w:r>
      <w:r/>
    </w:p>
    <w:p>
      <w:pPr>
        <w:jc w:val="both"/>
        <w:spacing w:after="0" w:line="273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/>
    </w:p>
    <w:p>
      <w:pPr>
        <w:jc w:val="both"/>
        <w:spacing w:after="0" w:line="273" w:lineRule="exact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Разработчик: - </w:t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Карданов Артур Хажкаримович, руководитель физ. воспитания ГБПОУ «КБАДК»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/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СОДЕРЖАНИЕ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</w:r>
      <w:r/>
    </w:p>
    <w:tbl>
      <w:tblPr>
        <w:tblStyle w:val="783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1. ОБЩАЯ ХАРАКТЕРИСТИКА ПРИМЕРНОЙ РАБОЧЕЙ</w:t>
            </w:r>
            <w:r/>
          </w:p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ПРОГРАММЫ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4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2. СТРУКТУРА И СОДЕРЖАНИЕ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9</w:t>
            </w:r>
            <w:r/>
          </w:p>
        </w:tc>
      </w:tr>
      <w:tr>
        <w:trPr>
          <w:trHeight w:val="928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3. УСЛОВИЯ РЕАЛИЗАЦИИ ПРОГРАММЫ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15</w:t>
            </w:r>
            <w:r/>
          </w:p>
        </w:tc>
      </w:tr>
      <w:tr>
        <w:trPr>
          <w:trHeight w:val="787"/>
        </w:trPr>
        <w:tc>
          <w:tcPr>
            <w:tcW w:w="7355" w:type="dxa"/>
            <w:textDirection w:val="lrTb"/>
            <w:noWrap w:val="false"/>
          </w:tcPr>
          <w:p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4. КОНТРОЛЬ И ОЦЕНКА РЕЗУЛЬТАТОВ ОСВОЕНИЯ ОБЩЕОБРАЗОВАТЕЛЬНОЙ ДИСЦИПЛИНЫ</w:t>
            </w:r>
            <w:r/>
          </w:p>
        </w:tc>
        <w:tc>
          <w:tcPr>
            <w:tcW w:w="990" w:type="dxa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 xml:space="preserve">16</w:t>
            </w:r>
            <w:r/>
          </w:p>
        </w:tc>
      </w:tr>
    </w:tbl>
    <w:p>
      <w:pPr>
        <w:jc w:val="right"/>
        <w:spacing w:after="0" w:line="240" w:lineRule="auto"/>
        <w:widowControl w:val="off"/>
        <w:rPr>
          <w:rFonts w:ascii="Arial" w:hAnsi="Times New Roman" w:cs="Times New Roman"/>
          <w:sz w:val="28"/>
        </w:rPr>
        <w:sectPr>
          <w:footerReference w:type="default" r:id="rId9"/>
          <w:footnotePr/>
          <w:endnotePr/>
          <w:type w:val="nextPage"/>
          <w:pgSz w:w="11910" w:h="16840" w:orient="portrait"/>
          <w:pgMar w:top="1520" w:right="740" w:bottom="1200" w:left="1500" w:header="0" w:footer="1002" w:gutter="0"/>
          <w:cols w:num="1" w:sep="0" w:space="720" w:equalWidth="1"/>
          <w:docGrid w:linePitch="360"/>
        </w:sectPr>
      </w:pPr>
      <w:r>
        <w:rPr>
          <w:rFonts w:ascii="Arial" w:hAnsi="Times New Roman" w:cs="Times New Roman"/>
          <w:sz w:val="28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ОБЩАЯ ХАРАКТЕРИСТИКА РАБОЧЕЙ ПРОГРАММЫ ОБЩЕОБРАЗОВАТЕЛЬНОЙ ДИСЦИПЛИНЫ ОДБ 13 «ФИЗИЧЕСКАЯ КУЛЬТУРА»</w:t>
      </w:r>
      <w:r/>
    </w:p>
    <w:p>
      <w:pPr>
        <w:jc w:val="both"/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1.1 Место дисциплины в структуре образовательной программы СПО:</w:t>
      </w:r>
      <w:r/>
    </w:p>
    <w:p>
      <w:pPr>
        <w:ind w:firstLine="709"/>
        <w:jc w:val="both"/>
        <w:spacing w:after="0"/>
        <w:widowControl w:val="off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квалифицированных рабочих и служащих по профес</w:t>
      </w:r>
      <w:r>
        <w:rPr>
          <w:rFonts w:ascii="Times New Roman" w:hAnsi="Times New Roman" w:cs="Times New Roman"/>
          <w:sz w:val="24"/>
        </w:rPr>
        <w:t xml:space="preserve">с</w:t>
      </w:r>
      <w:r>
        <w:rPr>
          <w:rFonts w:ascii="Times New Roman" w:hAnsi="Times New Roman" w:cs="Times New Roman"/>
          <w:sz w:val="24"/>
        </w:rPr>
        <w:t xml:space="preserve">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15.01.05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Сварщик ручной и частично механизированной сварки (наплавки)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eastAsia="Calibri" w:cs="Times New Roman"/>
          <w:sz w:val="24"/>
          <w:szCs w:val="32"/>
        </w:rPr>
        <w:t xml:space="preserve">Р</w:t>
      </w:r>
      <w:r>
        <w:rPr>
          <w:rFonts w:ascii="Times New Roman" w:hAnsi="Times New Roman" w:eastAsia="Calibri" w:cs="Times New Roman"/>
          <w:sz w:val="24"/>
          <w:szCs w:val="28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hAnsi="Times New Roman" w:eastAsia="Calibri" w:cs="Times New Roman"/>
          <w:sz w:val="24"/>
          <w:szCs w:val="32"/>
          <w:shd w:val="clear" w:color="auto" w:fill="ffffff"/>
        </w:rPr>
        <w:t xml:space="preserve">с изменениями на 12 августа 2022 года</w:t>
      </w:r>
      <w:r>
        <w:rPr>
          <w:rFonts w:ascii="Times New Roman" w:hAnsi="Times New Roman" w:eastAsia="Calibri" w:cs="Times New Roman"/>
          <w:sz w:val="24"/>
          <w:szCs w:val="28"/>
        </w:rPr>
        <w:t xml:space="preserve">), Федерального государственного образовательного стандарта </w:t>
      </w:r>
      <w:r>
        <w:rPr>
          <w:rFonts w:ascii="Times New Roman" w:hAnsi="Times New Roman" w:cs="Times New Roman"/>
          <w:bCs w:val="0"/>
          <w:sz w:val="24"/>
          <w:szCs w:val="28"/>
        </w:rPr>
        <w:t xml:space="preserve">профессии</w:t>
      </w:r>
      <w:r>
        <w:rPr>
          <w:rFonts w:ascii="Times New Roman" w:hAnsi="Times New Roman" w:cs="Times New Roman"/>
          <w:bCs w:val="0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15.01.05 «Сварщик» (ручной и частично механизированной сварки (наплавки), </w:t>
      </w:r>
      <w:r>
        <w:rPr>
          <w:rFonts w:ascii="Times New Roman" w:hAnsi="Times New Roman" w:cs="Times New Roman"/>
          <w:sz w:val="24"/>
          <w:szCs w:val="28"/>
        </w:rPr>
        <w:t xml:space="preserve">утв</w:t>
      </w:r>
      <w:r>
        <w:rPr>
          <w:rFonts w:ascii="Times New Roman" w:hAnsi="Times New Roman" w:cs="Times New Roman"/>
          <w:sz w:val="24"/>
          <w:szCs w:val="28"/>
        </w:rPr>
        <w:t xml:space="preserve">ержденного</w:t>
      </w:r>
      <w:r>
        <w:rPr>
          <w:rFonts w:ascii="Times New Roman" w:hAnsi="Times New Roman" w:cs="Times New Roman"/>
          <w:sz w:val="24"/>
          <w:szCs w:val="28"/>
        </w:rPr>
        <w:t xml:space="preserve"> Приказом Министерства образования и науки Российской Федерации от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29.01.2016г. №50 (в ред</w:t>
      </w:r>
      <w:r>
        <w:rPr>
          <w:rFonts w:ascii="Times New Roman" w:hAnsi="Times New Roman" w:cs="Times New Roman"/>
          <w:sz w:val="24"/>
          <w:szCs w:val="28"/>
        </w:rPr>
        <w:t xml:space="preserve">. </w:t>
      </w:r>
      <w:r>
        <w:rPr>
          <w:rFonts w:ascii="Times New Roman" w:hAnsi="Times New Roman" w:cs="Times New Roman"/>
          <w:sz w:val="24"/>
          <w:szCs w:val="28"/>
        </w:rPr>
        <w:t xml:space="preserve">01.09.2022 № 796)</w:t>
      </w:r>
      <w:r>
        <w:rPr>
          <w:rFonts w:ascii="Times New Roman" w:hAnsi="Times New Roman" w:eastAsia="Calibri" w:cs="Times New Roman"/>
          <w:sz w:val="24"/>
          <w:szCs w:val="28"/>
        </w:rPr>
        <w:t xml:space="preserve">, примерной программы общеобразовательной дисциплины «</w:t>
      </w:r>
      <w:r>
        <w:rPr>
          <w:rFonts w:ascii="Times New Roman" w:hAnsi="Times New Roman" w:eastAsia="Calibri" w:cs="Times New Roman"/>
          <w:sz w:val="24"/>
          <w:szCs w:val="28"/>
        </w:rPr>
        <w:t xml:space="preserve">Информатика</w:t>
      </w:r>
      <w:r>
        <w:rPr>
          <w:rFonts w:ascii="Times New Roman" w:hAnsi="Times New Roman" w:eastAsia="Calibri" w:cs="Times New Roman"/>
          <w:sz w:val="24"/>
          <w:szCs w:val="28"/>
        </w:rPr>
        <w:t xml:space="preserve">», разработанной ФГБОУ ДПО «Институт развития профессионального образования»</w:t>
      </w:r>
      <w:r>
        <w:rPr>
          <w:rFonts w:ascii="Times New Roman" w:hAnsi="Times New Roman" w:eastAsia="Calibri" w:cs="Times New Roman"/>
          <w:sz w:val="24"/>
          <w:szCs w:val="28"/>
        </w:rPr>
        <w:t xml:space="preserve">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</w:t>
      </w:r>
      <w:r>
        <w:rPr>
          <w:rFonts w:ascii="Times New Roman" w:hAnsi="Times New Roman" w:eastAsia="Calibri" w:cs="Times New Roman"/>
          <w:sz w:val="24"/>
          <w:szCs w:val="28"/>
        </w:rPr>
        <w:t xml:space="preserve">просвещения </w:t>
      </w:r>
      <w:r>
        <w:rPr>
          <w:rFonts w:ascii="Times New Roman" w:hAnsi="Times New Roman" w:eastAsia="Calibri" w:cs="Times New Roman"/>
          <w:sz w:val="24"/>
          <w:szCs w:val="28"/>
        </w:rPr>
        <w:t xml:space="preserve">РФ от 23.11.2022 г. №1014), с учетом получаемой </w:t>
      </w:r>
      <w:r>
        <w:rPr>
          <w:rFonts w:ascii="Times New Roman" w:hAnsi="Times New Roman" w:cs="Times New Roman"/>
          <w:bCs w:val="0"/>
          <w:sz w:val="24"/>
          <w:szCs w:val="28"/>
        </w:rPr>
        <w:t xml:space="preserve">профессии</w:t>
      </w:r>
      <w:r>
        <w:rPr>
          <w:rFonts w:ascii="Times New Roman" w:hAnsi="Times New Roman" w:eastAsia="Calibri" w:cs="Times New Roman"/>
          <w:sz w:val="24"/>
          <w:szCs w:val="28"/>
        </w:rPr>
        <w:t xml:space="preserve">, а также специфики и возможностей образовательной</w:t>
      </w:r>
      <w:r>
        <w:rPr>
          <w:rFonts w:ascii="Times New Roman" w:hAnsi="Times New Roman" w:eastAsia="Calibri" w:cs="Times New Roman"/>
          <w:sz w:val="24"/>
          <w:szCs w:val="28"/>
        </w:rPr>
        <w:t xml:space="preserve"> организации. </w:t>
      </w:r>
      <w:r>
        <w:rPr>
          <w:rFonts w:ascii="Times New Roman" w:hAnsi="Times New Roman" w:cs="Times New Roman"/>
          <w:sz w:val="24"/>
          <w:szCs w:val="28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</w:r>
      <w:r/>
      <w:r/>
    </w:p>
    <w:p>
      <w:pPr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 Цели и планируемые результаты освоения дисциплины: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1.2.1 Цели дисциплины</w:t>
      </w:r>
      <w:r/>
    </w:p>
    <w:p>
      <w:pPr>
        <w:jc w:val="both"/>
        <w:spacing w:before="10" w:after="0" w:line="240" w:lineRule="auto"/>
        <w:widowControl w:val="o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  <w:r/>
    </w:p>
    <w:p>
      <w:pPr>
        <w:jc w:val="both"/>
        <w:spacing w:before="240" w:after="24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>
        <w:rPr>
          <w:rFonts w:ascii="Times New Roman" w:hAnsi="Times New Roman" w:cs="Times New Roman"/>
          <w:b/>
          <w:sz w:val="24"/>
        </w:rPr>
        <w:t xml:space="preserve">ФГОС СОО </w:t>
      </w:r>
      <w:r/>
    </w:p>
    <w:p>
      <w:pPr>
        <w:ind w:right="106"/>
        <w:jc w:val="both"/>
        <w:spacing w:before="13" w:after="0" w:line="225" w:lineRule="auto"/>
        <w:widowControl w:val="off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профессии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15.01.05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Сварщик ручной и частично механизированной сварки (наплавки)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</w:t>
      </w:r>
      <w:r>
        <w:rPr>
          <w:rFonts w:ascii="Times New Roman" w:hAnsi="Times New Roman" w:cs="Times New Roman"/>
          <w:sz w:val="24"/>
        </w:rPr>
        <w:t xml:space="preserve">.</w:t>
      </w:r>
      <w:r/>
    </w:p>
    <w:p>
      <w:pPr>
        <w:jc w:val="both"/>
        <w:spacing w:after="0" w:line="225" w:lineRule="auto"/>
        <w:widowControl w:val="off"/>
        <w:rPr>
          <w:rFonts w:ascii="Times New Roman" w:hAnsi="Times New Roman" w:cs="Times New Roman"/>
          <w:sz w:val="28"/>
        </w:rPr>
        <w:sectPr>
          <w:footnotePr/>
          <w:endnotePr/>
          <w:type w:val="nextPage"/>
          <w:pgSz w:w="11910" w:h="16840" w:orient="portrait"/>
          <w:pgMar w:top="1060" w:right="740" w:bottom="1200" w:left="1500" w:header="0" w:footer="100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8"/>
        </w:rPr>
      </w:r>
      <w:r/>
    </w:p>
    <w:p>
      <w:pPr>
        <w:spacing w:before="3" w:after="0" w:line="240" w:lineRule="auto"/>
        <w:widowControl w:val="off"/>
        <w:rPr>
          <w:rFonts w:ascii="Times New Roman" w:hAnsi="Times New Roman" w:cs="Times New Roman"/>
          <w:sz w:val="11"/>
          <w:szCs w:val="28"/>
        </w:rPr>
      </w:pPr>
      <w:r>
        <w:rPr>
          <w:rFonts w:ascii="Times New Roman" w:hAnsi="Times New Roman" w:cs="Times New Roman"/>
          <w:sz w:val="11"/>
          <w:szCs w:val="28"/>
        </w:rPr>
      </w:r>
      <w:r/>
    </w:p>
    <w:tbl>
      <w:tblPr>
        <w:tblStyle w:val="783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295"/>
        </w:trPr>
        <w:tc>
          <w:tcPr>
            <w:tcW w:w="3965" w:type="dxa"/>
            <w:vMerge w:val="restart"/>
            <w:textDirection w:val="lrTb"/>
            <w:noWrap w:val="false"/>
          </w:tcPr>
          <w:p>
            <w:pPr>
              <w:ind w:right="151"/>
              <w:jc w:val="center"/>
              <w:spacing w:line="271" w:lineRule="auto"/>
              <w:rPr>
                <w:b/>
                <w:szCs w:val="24"/>
              </w:rPr>
            </w:pPr>
            <w:r>
              <w:rPr>
                <w:b/>
              </w:rPr>
              <w:t xml:space="preserve">Общие компетенции</w:t>
            </w:r>
            <w:r/>
          </w:p>
        </w:tc>
        <w:tc>
          <w:tcPr>
            <w:gridSpan w:val="2"/>
            <w:tcW w:w="10633" w:type="dxa"/>
            <w:textDirection w:val="lrTb"/>
            <w:noWrap w:val="false"/>
          </w:tcPr>
          <w:p>
            <w:pPr>
              <w:ind w:right="2903"/>
              <w:jc w:val="center"/>
              <w:rPr>
                <w:b/>
                <w:szCs w:val="24"/>
              </w:rPr>
            </w:pPr>
            <w:r>
              <w:rPr>
                <w:b/>
              </w:rPr>
              <w:t xml:space="preserve">Планируемые результаты</w:t>
            </w:r>
            <w:r>
              <w:rPr>
                <w:b/>
                <w:spacing w:val="4"/>
                <w:szCs w:val="24"/>
              </w:rPr>
              <w:t xml:space="preserve"> </w:t>
            </w:r>
            <w:bookmarkStart w:id="0" w:name="_bookmark0"/>
            <w:r/>
            <w:bookmarkEnd w:id="0"/>
            <w:r>
              <w:rPr>
                <w:b/>
              </w:rPr>
              <w:t xml:space="preserve">обучения</w:t>
            </w:r>
            <w:r/>
          </w:p>
        </w:tc>
      </w:tr>
      <w:tr>
        <w:trPr>
          <w:trHeight w:val="280"/>
        </w:trPr>
        <w:tc>
          <w:tcPr>
            <w:tcBorders>
              <w:top w:val="none" w:color="000000" w:sz="4" w:space="0"/>
            </w:tcBorders>
            <w:tcW w:w="3965" w:type="dxa"/>
            <w:vMerge w:val="continue"/>
            <w:textDirection w:val="lrTb"/>
            <w:noWrap w:val="false"/>
          </w:tcPr>
          <w:p>
            <w:pPr>
              <w:rPr>
                <w:szCs w:val="24"/>
              </w:rPr>
            </w:pPr>
            <w:r>
              <w:rPr>
                <w:szCs w:val="24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Общие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Дисциплинарные</w:t>
            </w:r>
            <w:r/>
          </w:p>
        </w:tc>
      </w:tr>
      <w:tr>
        <w:trPr>
          <w:trHeight w:val="5973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01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части трудового воспитания: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труду, осознание ценности мастерства, трудолюбие;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интерес к различным сферам профессиональной деятельности,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 универсальными учебными познавательными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 базовые логические действия: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самостоятельно формулировать и актуализировать проблему, рассматривать ее всесторонне;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устанавливать существенный признак или основания для сравнения, классификации и обобщения;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определять цели деятельности, задавать параметры и критерии их достижения;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 закономерности и противоречия в рассматриваемых явлениях;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использов</w:t>
            </w:r>
            <w:r>
              <w:rPr>
                <w:lang w:val="ru-RU"/>
              </w:rPr>
              <w:t xml:space="preserve">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деятельности с целью профилактики переутомления и сохранения высокой</w:t>
            </w:r>
            <w:r/>
          </w:p>
        </w:tc>
      </w:tr>
    </w:tbl>
    <w:p>
      <w:pPr>
        <w:spacing w:after="0" w:line="229" w:lineRule="exact"/>
        <w:widowControl w:val="off"/>
        <w:rPr>
          <w:rFonts w:ascii="Times New Roman" w:hAnsi="Times New Roman" w:cs="Times New Roman"/>
          <w:sz w:val="20"/>
        </w:rPr>
        <w:sectPr>
          <w:footerReference w:type="default" r:id="rId10"/>
          <w:footnotePr/>
          <w:endnotePr/>
          <w:type w:val="nextPage"/>
          <w:pgSz w:w="16840" w:h="11910" w:orient="landscape"/>
          <w:pgMar w:top="1100" w:right="1260" w:bottom="280" w:left="180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0"/>
        </w:rPr>
      </w:r>
      <w:r/>
    </w:p>
    <w:tbl>
      <w:tblPr>
        <w:tblStyle w:val="783"/>
        <w:tblW w:w="0" w:type="auto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>
        <w:trPr>
          <w:trHeight w:val="7057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 креативное мышление при решении жизненных проблем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базовые исследовательские действия: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навыками учебно-исследовательской и проектной деятельности, навыками разрешения проблем;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переносить знания в познавательную и практическую области жизнедеятельности;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интегрировать знания из разных предметных областей;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выдвигать новые идеи, предлагать оригинальные подходы и решения;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способность их использования в познавательной и социальной практике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r>
              <w:t xml:space="preserve">работоспособности</w:t>
            </w:r>
            <w:r/>
          </w:p>
        </w:tc>
      </w:tr>
      <w:tr>
        <w:trPr>
          <w:trHeight w:val="1626"/>
        </w:trPr>
        <w:tc>
          <w:tcPr>
            <w:tcW w:w="396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04 Эффективно взаимодействовать и работать в коллективе и команде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готовность к саморазвитию, самостоятельности и самоопределению;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-овладение навыками учебно-исследовательской, проектной и социальной деятельности;</w:t>
            </w:r>
            <w:r/>
          </w:p>
          <w:p>
            <w:pPr>
              <w:jc w:val="both"/>
            </w:pPr>
            <w:r>
              <w:t xml:space="preserve">Овладение универсальными коммуникативными действиями:</w:t>
            </w:r>
            <w:r/>
          </w:p>
        </w:tc>
        <w:tc>
          <w:tcPr>
            <w:tcW w:w="5247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физкультурно-спортивного комплекса «Готов к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1"/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pgNumType w:start="6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783"/>
        <w:tblW w:w="0" w:type="auto"/>
        <w:tblInd w:w="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393"/>
        <w:gridCol w:w="5386"/>
        <w:gridCol w:w="5680"/>
      </w:tblGrid>
      <w:tr>
        <w:trPr>
          <w:trHeight w:val="6242"/>
        </w:trPr>
        <w:tc>
          <w:tcPr>
            <w:tcW w:w="339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б) совместная деятельность: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г) принятие себя и других людей: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принимать мотивы и аргументы других людей при анализе результатов деятельности;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признавать свое право и право других людей на ошибки;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развивать способность понимать мир с позиции другого человека;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  <w:r/>
          </w:p>
        </w:tc>
      </w:tr>
      <w:tr>
        <w:trPr>
          <w:trHeight w:val="2442"/>
        </w:trPr>
        <w:tc>
          <w:tcPr>
            <w:tcW w:w="339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/>
          </w:p>
        </w:tc>
        <w:tc>
          <w:tcPr>
            <w:tcW w:w="538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готовность к саморазвитию, самостоятельности и самоопределению;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наличие мотивации к обучению и личностному развитию;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части физического воспитания: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сформированность здорового и безопасного образа жизни, ответственного отношения к своему здоровью;</w:t>
            </w:r>
            <w:r/>
          </w:p>
        </w:tc>
        <w:tc>
          <w:tcPr>
            <w:tcW w:w="5680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использов</w:t>
            </w:r>
            <w:r>
              <w:rPr>
                <w:lang w:val="ru-RU"/>
              </w:rPr>
              <w:t xml:space="preserve">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современными технологиями укрепления и сохранения здоровья, поддержания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783"/>
        <w:tblW w:w="15302" w:type="dxa"/>
        <w:tblInd w:w="5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225"/>
        <w:gridCol w:w="5741"/>
        <w:gridCol w:w="5336"/>
      </w:tblGrid>
      <w:tr>
        <w:trPr>
          <w:trHeight w:val="6046"/>
        </w:trPr>
        <w:tc>
          <w:tcPr>
            <w:tcW w:w="4225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741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потребность в физическом совершенствовании, занятиях спортивно-оздоровительной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активное неприятие вредных привычек и иных форм причинения вреда физическому и психическому здоровью;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Овладение универсальными регулятивными действиями: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а) самоорганизация: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-- самостоятельно составлять план решения проблемы с учетом имеющихся ресурсов, собственных возможностей и предпочтений;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давать оценку новым ситуациям;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расширять рамки учебного предмета на основе личных предпочтений;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делать осознанный выбор, аргументировать его, брать ответственность за решение;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оценивать приобретенный опыт;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  <w:r/>
          </w:p>
        </w:tc>
        <w:tc>
          <w:tcPr>
            <w:tcW w:w="533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ра</w:t>
            </w:r>
            <w:bookmarkStart w:id="1" w:name="_bookmark2"/>
            <w:r/>
            <w:bookmarkEnd w:id="1"/>
            <w:r>
              <w:rPr>
                <w:lang w:val="ru-RU"/>
              </w:rPr>
              <w:t xml:space="preserve">ботоспособности, профилактики заболеваний, связанных с учебной и производственной деятельностью;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иметь положительную динамику в развитии основных физических качеств (силы, быстроты, выносливости, гибкости и ловкости).</w:t>
            </w:r>
            <w:r/>
          </w:p>
        </w:tc>
      </w:tr>
      <w:tr>
        <w:trPr>
          <w:trHeight w:val="2292"/>
        </w:trPr>
        <w:tc>
          <w:tcPr>
            <w:tcW w:w="4225" w:type="dxa"/>
            <w:textDirection w:val="lrTb"/>
            <w:noWrap w:val="false"/>
          </w:tcPr>
          <w:p>
            <w:pPr>
              <w:pStyle w:val="786"/>
              <w:ind w:firstLine="41"/>
              <w:jc w:val="both"/>
              <w:spacing w:before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1.5. Выполнять сборку и подготовку элементов конструкции под сварку.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5741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Потребность в физическом совершенствовании для решения профессиональных задач;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Понимать и использовать преимущества командной и индивидуальной работы;</w:t>
            </w:r>
            <w:r/>
          </w:p>
          <w:p>
            <w:pPr>
              <w:jc w:val="both"/>
              <w:rPr>
                <w:highlight w:val="yellow"/>
                <w:lang w:val="ru-RU"/>
              </w:rPr>
            </w:pPr>
            <w:r>
              <w:rPr>
                <w:lang w:val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  <w:r/>
          </w:p>
        </w:tc>
        <w:tc>
          <w:tcPr>
            <w:tcW w:w="5336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Владеть способами профилактики переутомления средствами физической культуры и спорта;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подбирать физические упражнения для проведения производственной гимнастики;</w:t>
            </w:r>
            <w:r/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гимнастики.</w:t>
            </w:r>
            <w:r/>
          </w:p>
          <w:p>
            <w:pPr>
              <w:rPr>
                <w:highlight w:val="yellow"/>
                <w:lang w:val="ru-RU"/>
              </w:rPr>
            </w:pPr>
            <w:r>
              <w:rPr>
                <w:highlight w:val="yellow"/>
                <w:lang w:val="ru-RU"/>
              </w:rPr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notePr/>
          <w:endnotePr/>
          <w:type w:val="nextPage"/>
          <w:pgSz w:w="16840" w:h="11910" w:orient="landscape"/>
          <w:pgMar w:top="1100" w:right="1260" w:bottom="1120" w:left="1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  <w:lang w:eastAsia="ru-RU"/>
        </w:rPr>
      </w:r>
      <w:r/>
    </w:p>
    <w:p>
      <w:pPr>
        <w:jc w:val="center"/>
        <w:spacing w:before="240" w:after="240" w:line="240" w:lineRule="auto"/>
        <w:widowControl w:val="off"/>
        <w:rPr>
          <w:rFonts w:ascii="Times New Roman" w:hAnsi="Times New Roman" w:eastAsia="Calibri" w:cs="Times New Roman"/>
          <w:b/>
          <w:bCs/>
          <w:sz w:val="24"/>
          <w:szCs w:val="28"/>
        </w:rPr>
        <w:outlineLvl w:val="0"/>
      </w:pPr>
      <w:r/>
      <w:bookmarkStart w:id="2" w:name="2._СТРУКТУРА_И_СОДЕРЖАНИЕ_ОБЩЕОБРАЗОВАТЕ"/>
      <w:r/>
      <w:bookmarkStart w:id="3" w:name="2.1._Объем_дисциплины_и_виды_учебной_раб"/>
      <w:r/>
      <w:bookmarkEnd w:id="2"/>
      <w:r/>
      <w:bookmarkEnd w:id="3"/>
      <w:r>
        <w:rPr>
          <w:rFonts w:ascii="Times New Roman" w:hAnsi="Times New Roman" w:eastAsia="Calibri" w:cs="Times New Roman"/>
          <w:b/>
          <w:bCs/>
          <w:sz w:val="24"/>
          <w:szCs w:val="28"/>
        </w:rPr>
        <w:t xml:space="preserve">2 СТРУКТУРА И СОДЕРЖАНИЕ ОБЩЕОБРАЗОВАТЕЛЬНОЙ ДИСЦИПЛИНЫ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2.1 Объем дисциплины и виды учебной работы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</w:r>
      <w:r/>
    </w:p>
    <w:tbl>
      <w:tblPr>
        <w:tblStyle w:val="783"/>
        <w:tblW w:w="0" w:type="auto"/>
        <w:tblInd w:w="11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>
        <w:trPr>
          <w:trHeight w:val="237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 учебной работы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Объем в часах</w:t>
            </w:r>
            <w:r/>
          </w:p>
        </w:tc>
      </w:tr>
      <w:tr>
        <w:trPr>
          <w:trHeight w:val="84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дисциплины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80</w:t>
            </w:r>
            <w:r/>
          </w:p>
        </w:tc>
      </w:tr>
      <w:tr>
        <w:trPr>
          <w:trHeight w:val="216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2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 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68</w:t>
            </w:r>
            <w:r/>
          </w:p>
        </w:tc>
      </w:tr>
      <w:tr>
        <w:trPr>
          <w:trHeight w:val="21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ч.:</w:t>
            </w:r>
            <w:r/>
          </w:p>
        </w:tc>
      </w:tr>
      <w:tr>
        <w:trPr>
          <w:trHeight w:val="200"/>
        </w:trPr>
        <w:tc>
          <w:tcPr>
            <w:tcW w:w="0" w:type="auto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64</w:t>
            </w:r>
            <w:r/>
          </w:p>
        </w:tc>
      </w:tr>
      <w:tr>
        <w:trPr>
          <w:trHeight w:val="18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8</w:t>
            </w:r>
            <w:r/>
          </w:p>
        </w:tc>
      </w:tr>
      <w:tr>
        <w:trPr>
          <w:trHeight w:val="170"/>
        </w:trPr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 т. ч.: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174"/>
        </w:trPr>
        <w:tc>
          <w:tcPr>
            <w:tcW w:w="0" w:type="auto"/>
            <w:textDirection w:val="lrTb"/>
            <w:noWrap w:val="false"/>
          </w:tcPr>
          <w:p>
            <w:r>
              <w:t xml:space="preserve">теоретическое обучение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306"/>
        </w:trPr>
        <w:tc>
          <w:tcPr>
            <w:tcW w:w="0" w:type="auto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r>
              <w:t xml:space="preserve">4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Итоговый контроль в форме компьютерного тестирования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190"/>
        </w:trPr>
        <w:tc>
          <w:tcPr>
            <w:tcW w:w="0" w:type="auto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Индивидуальный проект</w:t>
            </w:r>
            <w:r/>
          </w:p>
        </w:tc>
        <w:tc>
          <w:tcPr>
            <w:tcW w:w="0" w:type="auto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</w:tr>
      <w:tr>
        <w:trPr>
          <w:trHeight w:val="120"/>
        </w:trPr>
        <w:tc>
          <w:tcPr>
            <w:gridSpan w:val="2"/>
            <w:tcW w:w="0" w:type="auto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Промежуточная аттестация в форме дифференцированного зачета</w:t>
            </w:r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28"/>
          <w:szCs w:val="28"/>
        </w:rPr>
      </w:pPr>
      <w:r>
        <w:rPr>
          <w:rFonts w:ascii="Arial" w:hAnsi="Times New Roman" w:cs="Times New Roman"/>
          <w:b/>
          <w:sz w:val="28"/>
          <w:szCs w:val="28"/>
        </w:rPr>
      </w:r>
      <w:r/>
    </w:p>
    <w:p>
      <w:pPr>
        <w:spacing w:before="3" w:after="0" w:line="240" w:lineRule="auto"/>
        <w:widowControl w:val="off"/>
        <w:rPr>
          <w:rFonts w:ascii="Arial" w:hAnsi="Times New Roman" w:cs="Times New Roman"/>
          <w:b/>
          <w:sz w:val="23"/>
          <w:szCs w:val="28"/>
        </w:rPr>
      </w:pPr>
      <w:r>
        <w:rPr>
          <w:rFonts w:ascii="Arial" w:hAnsi="Times New Roman" w:cs="Times New Roman"/>
          <w:b/>
          <w:sz w:val="23"/>
          <w:szCs w:val="28"/>
        </w:rPr>
      </w:r>
      <w:r/>
    </w:p>
    <w:p>
      <w:pPr>
        <w:ind w:right="231"/>
        <w:spacing w:before="1" w:after="0" w:line="276" w:lineRule="auto"/>
        <w:widowControl w:val="off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</w:r>
      <w:r/>
    </w:p>
    <w:p>
      <w:pPr>
        <w:spacing w:after="0" w:line="278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2"/>
          <w:footnotePr/>
          <w:endnotePr/>
          <w:type w:val="nextPage"/>
          <w:pgSz w:w="11910" w:h="16840" w:orient="portrait"/>
          <w:pgMar w:top="1560" w:right="980" w:bottom="1200" w:left="1600" w:header="0" w:footer="100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4" w:name="2.2._Тематический_план_и_содержание_дисц"/>
      <w:r/>
      <w:bookmarkEnd w:id="4"/>
      <w:r>
        <w:rPr>
          <w:rFonts w:ascii="Times New Roman" w:hAnsi="Times New Roman" w:cs="Times New Roman"/>
          <w:b/>
          <w:sz w:val="24"/>
        </w:rPr>
        <w:t xml:space="preserve">2.2 Тематический план и содержание дисциплины</w:t>
      </w:r>
      <w:r/>
    </w:p>
    <w:p>
      <w:pPr>
        <w:spacing w:after="0" w:line="240" w:lineRule="auto"/>
        <w:widowControl w:val="off"/>
        <w:rPr>
          <w:rFonts w:ascii="Arial" w:hAnsi="Times New Roman" w:cs="Times New Roman"/>
          <w:b/>
          <w:sz w:val="18"/>
          <w:szCs w:val="28"/>
        </w:rPr>
      </w:pPr>
      <w:r>
        <w:rPr>
          <w:rFonts w:ascii="Arial" w:hAnsi="Times New Roman" w:cs="Times New Roman"/>
          <w:b/>
          <w:sz w:val="18"/>
          <w:szCs w:val="28"/>
        </w:rPr>
      </w:r>
      <w:r/>
    </w:p>
    <w:tbl>
      <w:tblPr>
        <w:tblStyle w:val="783"/>
        <w:tblW w:w="0" w:type="auto"/>
        <w:tblInd w:w="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08"/>
        <w:gridCol w:w="9457"/>
        <w:gridCol w:w="836"/>
        <w:gridCol w:w="2549"/>
        <w:gridCol w:w="54"/>
      </w:tblGrid>
      <w:tr>
        <w:trPr>
          <w:gridAfter w:val="1"/>
          <w:trHeight w:val="827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разделов и тем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Содержание учебного материала (основное и профессионально- ориентированное), 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/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часов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Формируемые компетенции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3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</w:tr>
      <w:tr>
        <w:trPr>
          <w:gridAfter w:val="1"/>
          <w:trHeight w:val="544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</w:rPr>
              <w:t xml:space="preserve">Раздел</w:t>
            </w:r>
            <w:r>
              <w:t xml:space="preserve"> </w:t>
            </w:r>
            <w:r>
              <w:rPr>
                <w:b/>
              </w:rPr>
              <w:t xml:space="preserve">1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Физическая культура, как часть культуры общества и человека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Основное 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1.1 Современное состояние физической культуры и спорта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основные понятия; основные направления развития физической культуры в обществе и их формы организации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108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2. 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населения. </w:t>
            </w:r>
            <w:r>
              <w:t xml:space="preserve">Характеристика нормативных требований для</w:t>
            </w:r>
            <w:r/>
          </w:p>
          <w:p>
            <w:r>
              <w:t xml:space="preserve">обучающихся СПО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1.2 Здоровье и здоровый образ жизни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gridAfter w:val="1"/>
          <w:trHeight w:val="541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Понятие «здоровье» (физическое, психическое, социальное). Факторы,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определяющие здоровье. Психосоматические заболевания.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8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Понятие «здоровый образ жизни» и его составляющие: режим труда 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108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3.Влияние двигательной активности на здоровье.Оздоровительное воздействие физических упражнений на организм занимающихся.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Двигательная рекреация и ее роль в организации здорового образа жизни современного человека.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1.3 Физическая </w:t>
            </w:r>
            <w:r>
              <w:rPr>
                <w:lang w:val="ru-RU"/>
              </w:rPr>
              <w:t xml:space="preserve">культура в режиме трудового дня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 -</w:t>
            </w:r>
            <w:r>
              <w:rPr>
                <w:lang w:val="ru-RU"/>
              </w:rPr>
              <w:t xml:space="preserve">1.5</w:t>
            </w:r>
            <w:r/>
          </w:p>
        </w:tc>
      </w:tr>
      <w:tr>
        <w:trPr>
          <w:trHeight w:val="16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Зоны риска физического здоровья в профессиональной деятельности. Рациональная о</w:t>
            </w:r>
            <w:r>
              <w:rPr>
                <w:lang w:val="ru-RU"/>
              </w:rPr>
              <w:t xml:space="preserve">рганизация труда, факторы сохранения и укрепления здоровья, профилактика переутомления. Составление профессиограммы. Определение принадлежности выбранной специальности к группе труда. Подбор физических упражнений для проведения производственной гимнастики.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1.4 Профессионально- прикладная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физическая 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</w:t>
            </w:r>
            <w:r>
              <w:rPr>
                <w:lang w:val="ru-RU"/>
              </w:rPr>
              <w:t xml:space="preserve">1.5</w:t>
            </w:r>
            <w:r/>
          </w:p>
        </w:tc>
      </w:tr>
      <w:tr>
        <w:trPr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1.Понятие «профессионально-прикладная физическая подготовка», задачи профессионально-прикладной физической подготовки, средства</w:t>
            </w:r>
            <w:r/>
          </w:p>
          <w:p>
            <w:r>
              <w:t xml:space="preserve">профессионально-прикладной физической подготовки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15"/>
        </w:trPr>
        <w:tc>
          <w:tcPr>
            <w:tcW w:w="2308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2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Методические основы обучения различным видам физкультурно-спортивной деятельности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68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r>
              <w:t xml:space="preserve">ПК </w:t>
            </w:r>
            <w:r>
              <w:t xml:space="preserve">1.5</w:t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Методико-практические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Профессионально ориентированное 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287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2.1 Подбор упражнений, составление и проведение комплексов упражнений для различных форм организации занятий</w:t>
            </w:r>
            <w:r/>
          </w:p>
          <w:p>
            <w:r>
              <w:t xml:space="preserve">физической культурой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 xml:space="preserve">1.5</w:t>
            </w:r>
            <w:r/>
          </w:p>
        </w:tc>
      </w:tr>
      <w:tr>
        <w:trPr>
          <w:trHeight w:val="27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72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309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2.2 Профессионально- прикладная физическая подготовка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08,</w:t>
            </w:r>
            <w:r/>
          </w:p>
          <w:p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 xml:space="preserve">1.5</w:t>
            </w:r>
            <w:r/>
          </w:p>
        </w:tc>
      </w:tr>
      <w:tr>
        <w:trPr>
          <w:trHeight w:val="28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909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31"/>
        </w:trPr>
        <w:tc>
          <w:tcPr>
            <w:tcBorders>
              <w:top w:val="none" w:color="000000" w:sz="4" w:space="0"/>
            </w:tcBorders>
            <w:tcW w:w="2308" w:type="dxa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Основное содержание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64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2.3. Гимнастика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  <w:tc>
          <w:tcPr>
            <w:gridSpan w:val="2"/>
            <w:tcW w:w="2603" w:type="dxa"/>
            <w:textDirection w:val="lrTb"/>
            <w:noWrap w:val="false"/>
          </w:tcPr>
          <w:p>
            <w:r/>
            <w:r/>
          </w:p>
        </w:tc>
      </w:tr>
      <w:tr>
        <w:trPr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Тема 2.3 (1) Основная гимнастика (обязательный вид)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gridSpan w:val="2"/>
            <w:tcW w:w="2603" w:type="dxa"/>
            <w:vMerge w:val="restart"/>
            <w:textDirection w:val="lrTb"/>
            <w:noWrap w:val="false"/>
          </w:tcPr>
          <w:p>
            <w:r>
              <w:t xml:space="preserve">ОК 01, ОК 04,</w:t>
            </w:r>
            <w:r/>
          </w:p>
          <w:p>
            <w:r>
              <w:t xml:space="preserve">ОК 08</w:t>
            </w:r>
            <w:r/>
          </w:p>
        </w:tc>
      </w:tr>
      <w:tr>
        <w:trPr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1266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3. Выполнение общеразвивающих упражнений без предмета и с предметом; в парах, в группах, на снарядах и тренажерах.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gridSpan w:val="2"/>
            <w:tcBorders>
              <w:top w:val="none" w:color="000000" w:sz="4" w:space="0"/>
            </w:tcBorders>
            <w:tcW w:w="2603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2.3 (2) Спортивная 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55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4.Освоение и совершенствование элементов и комбинаций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на перекладине и парралельных брусьях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2.3 (3) Акробатика.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73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2.3 (4) Атлетическая гимнастика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813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>
              <w:t xml:space="preserve">Выполнение упражнений со свободными весами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textDirection w:val="lrTb"/>
            <w:noWrap w:val="false"/>
          </w:tcPr>
          <w:p>
            <w:r>
              <w:t xml:space="preserve">Тема 2.3 Самбо (5)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/>
            <w:bookmarkStart w:id="5" w:name="_bookmark6"/>
            <w:r/>
            <w:bookmarkEnd w:id="5"/>
            <w:r>
              <w:t xml:space="preserve">2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69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7. Техника безопасности при занятиях самбо. Специально-подготовительные упражнений для техники самозащиты.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2.4 Спортивные игры 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44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2.4 (1) Футбол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4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41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8. Техника безопасности на занятиях футболом.</w:t>
            </w:r>
            <w:r>
              <w:rPr>
                <w:lang w:val="ru-RU"/>
              </w:rPr>
              <w:t xml:space="preserve">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702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9.Выполнение технико-тактических приёмов в игровой деятельности (учебная игра).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2.4 (2) Баскетбол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18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905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9-12. Техника безопасности на занятиях баскетболом. Освоение и совершенствование техники выполнения приёмов игры: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</w:t>
            </w:r>
            <w:r>
              <w:rPr>
                <w:lang w:val="ru-RU"/>
              </w:rPr>
              <w:t xml:space="preserve">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4</w:t>
            </w:r>
            <w:r/>
          </w:p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13-14.Освоение и 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15-17. 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2.4 (3) Волейбол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357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18-21</w:t>
            </w:r>
            <w:r>
              <w:rPr>
                <w:lang w:val="ru-RU"/>
              </w:rPr>
              <w:t xml:space="preserve"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перекатом в сторону, на бедро и спину, прием мяча одной рукой в падении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6</w:t>
            </w:r>
            <w:r/>
          </w:p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22-24.Освоение/совершенствование приёмов тактики защиты и нападения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25-27.Выполнение технико-тактических приёмов в игровой деятельности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2.4 (4) Бадминтон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116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28.Техника безопасности на з</w:t>
            </w:r>
            <w:r>
              <w:rPr>
                <w:lang w:val="ru-RU"/>
              </w:rPr>
              <w:t xml:space="preserve">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335"/>
        </w:trPr>
        <w:tc>
          <w:tcPr>
            <w:tcW w:w="2308" w:type="dxa"/>
            <w:vMerge w:val="restart"/>
            <w:textDirection w:val="lrTb"/>
            <w:noWrap w:val="false"/>
          </w:tcPr>
          <w:p>
            <w:r>
              <w:t xml:space="preserve">Тема 2.5 Лёгкая атлетика </w:t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Содержание учебного материала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10</w:t>
            </w:r>
            <w:r/>
          </w:p>
        </w:tc>
        <w:tc>
          <w:tcPr>
            <w:tcW w:w="2549" w:type="dxa"/>
            <w:vMerge w:val="restart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Практические занятия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29. Техника безопасности на занятиях легкой атлетикой. Техника бега высокого и низкого старта, стартового разгона, финиширования;</w:t>
            </w:r>
            <w:r/>
          </w:p>
        </w:tc>
        <w:tc>
          <w:tcPr>
            <w:tcW w:w="836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>
              <w:t xml:space="preserve">2</w:t>
            </w:r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>
              <w:t xml:space="preserve">4</w:t>
            </w:r>
            <w:r/>
          </w:p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35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r>
              <w:t xml:space="preserve">30. Совершенствование техники спринтерского бега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gridAfter w:val="1"/>
          <w:trHeight w:val="270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31. Совершенствование техники прыжка в длину с места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544"/>
        </w:trPr>
        <w:tc>
          <w:tcPr>
            <w:tcBorders>
              <w:top w:val="none" w:color="000000" w:sz="4" w:space="0"/>
            </w:tcBorders>
            <w:tcW w:w="2308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9457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32-33. Развитие физических способностей средствами лёгкой атлетики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Подвижные игры и эстафеты с элементами легкой атлетики.</w:t>
            </w:r>
            <w:r/>
          </w:p>
        </w:tc>
        <w:tc>
          <w:tcPr>
            <w:tcBorders>
              <w:top w:val="none" w:color="000000" w:sz="4" w:space="0"/>
            </w:tcBorders>
            <w:tcW w:w="836" w:type="dxa"/>
            <w:vMerge w:val="continue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49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Итоговое компьютерное тестирование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Индивидуальный проект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2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>
              <w:t xml:space="preserve">ОК 01, ОК 04, ОК 08</w:t>
            </w:r>
            <w:r/>
          </w:p>
        </w:tc>
      </w:tr>
      <w:tr>
        <w:trPr>
          <w:gridAfter w:val="1"/>
          <w:trHeight w:val="270"/>
        </w:trPr>
        <w:tc>
          <w:tcPr>
            <w:gridSpan w:val="2"/>
            <w:tcW w:w="1176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Промежуточная аттестация по дисциплине (дифференцированный зачёт)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</w:tr>
      <w:tr>
        <w:trPr>
          <w:gridAfter w:val="1"/>
          <w:trHeight w:val="273"/>
        </w:trPr>
        <w:tc>
          <w:tcPr>
            <w:gridSpan w:val="2"/>
            <w:tcW w:w="11765" w:type="dxa"/>
            <w:textDirection w:val="lrTb"/>
            <w:noWrap w:val="false"/>
          </w:tcPr>
          <w:p>
            <w:r>
              <w:t xml:space="preserve">Всего:</w:t>
            </w:r>
            <w:r/>
          </w:p>
        </w:tc>
        <w:tc>
          <w:tcPr>
            <w:tcW w:w="83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     80</w:t>
            </w:r>
            <w:r/>
          </w:p>
        </w:tc>
        <w:tc>
          <w:tcPr>
            <w:tcW w:w="2549" w:type="dxa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3"/>
          <w:footnotePr/>
          <w:endnotePr/>
          <w:type w:val="nextPage"/>
          <w:pgSz w:w="16850" w:h="11910" w:orient="landscape"/>
          <w:pgMar w:top="840" w:right="280" w:bottom="1160" w:left="880" w:header="0" w:footer="922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6" w:name="3._УСЛОВИЯ_РЕАЛИЗАЦИИ_ПРОГРАММЫ_ОБЩЕОБРА"/>
      <w:r/>
      <w:bookmarkEnd w:id="6"/>
      <w:r>
        <w:rPr>
          <w:rFonts w:ascii="Times New Roman" w:hAnsi="Times New Roman" w:cs="Times New Roman"/>
          <w:b/>
          <w:sz w:val="24"/>
        </w:rPr>
        <w:t xml:space="preserve">3. УСЛОВИЯ РЕАЛИЗАЦИИ ПРОГРАММЫ ОБЩЕОБРАЗОВАТЕЛЬНОЙ ДИСЦИПЛИНЫ</w:t>
      </w:r>
      <w:r/>
    </w:p>
    <w:p>
      <w:pPr>
        <w:jc w:val="both"/>
        <w:spacing w:before="9" w:after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- техническое обеспечение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Для реализации программы учебной дисциплины предусмотрены спортивные сооружения: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Открытая спортивная площадка, обеспечивающие достижение результатов освоения учебной дисциплины;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Перечень оборудования и инвентаря спортивных сооружений: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Спортивный зал: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Открытые спортивные площадки: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3.2.1. Основные печатные издания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Аллянов, Ю. Н. Физическая культура: учебник для среднего профессионального образования / Ю. Н. Аллянов, И. А. Письменский. – 3-е изд., испр. – Москва: Издательство Юрайт, 2018. – 493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Муллер, А. Б. Физическая культура: учебник и практикум для среднего профессионального образования / А. Б. Муллер, Н. С. Дядичкина, Ю. А. Богащенко. – Москва: Издательство Юрайт, 2018. – 424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Бишаева, А.А., Физическая культура: учебник / А.А. Бишаева, В.В. Малков. — Москва: КноРус, 2018. — 379 с.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  <w:sectPr>
          <w:footerReference w:type="default" r:id="rId14"/>
          <w:footnotePr/>
          <w:endnotePr/>
          <w:type w:val="nextPage"/>
          <w:pgSz w:w="11910" w:h="16840" w:orient="portrait"/>
          <w:pgMar w:top="1060" w:right="740" w:bottom="1160" w:left="1600" w:header="0" w:footer="96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/>
      <w:bookmarkStart w:id="7" w:name="КОНТРОЛЬ_И_ОЦЕНКА_РЕЗУЛЬТАТОВ_ОСВОЕНИЯ_О"/>
      <w:r/>
      <w:bookmarkEnd w:id="7"/>
      <w:r>
        <w:rPr>
          <w:rFonts w:ascii="Times New Roman" w:hAnsi="Times New Roman" w:cs="Times New Roman"/>
          <w:b/>
          <w:sz w:val="24"/>
        </w:rPr>
        <w:t xml:space="preserve">4. КОНТРОЛЬ И ОЦЕНКА РЕЗУЛЬТАТОВ ОСВОЕНИЯ УЧЕБНОЙ ДИСЦИПЛИНЫ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tbl>
      <w:tblPr>
        <w:tblStyle w:val="783"/>
        <w:tblW w:w="0" w:type="auto"/>
        <w:tblInd w:w="1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>
        <w:trPr>
          <w:trHeight w:val="674"/>
        </w:trPr>
        <w:tc>
          <w:tcPr>
            <w:tcW w:w="3250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Общая/профессиональная компетенция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Раздел/Тема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Тип оценочных мероприятия</w:t>
            </w:r>
            <w:r/>
          </w:p>
        </w:tc>
      </w:tr>
      <w:tr>
        <w:trPr>
          <w:trHeight w:val="1629"/>
        </w:trPr>
        <w:tc>
          <w:tcPr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01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t xml:space="preserve">о/c, 2.1, 2.2</w:t>
            </w:r>
            <w:r/>
          </w:p>
        </w:tc>
        <w:tc>
          <w:tcPr>
            <w:tcBorders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словаря терминов, либо 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 презентации/доклада- презентации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самостоятельной 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комплекса физических упражнений для самостоятельных занятий с учетом индивидуальных особенностей,</w:t>
            </w:r>
            <w:r/>
          </w:p>
          <w:p>
            <w:r>
              <w:t xml:space="preserve">составление профессиограммы</w:t>
            </w:r>
            <w:r/>
          </w:p>
          <w:p>
            <w:r>
              <w:t xml:space="preserve">заполнение дневника</w:t>
            </w:r>
            <w:r/>
          </w:p>
        </w:tc>
      </w:tr>
      <w:tr>
        <w:trPr>
          <w:trHeight w:val="1747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04 Эффективно взаимодействовать и работать в коллективе и команде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t xml:space="preserve">о/c, 2.1, 2.2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878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restart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самоконтроля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защита реферата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кроссворда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фронтальный опрос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контрольное 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составление комплекса упражнений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оценивание практической работы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тестирование (контрольная работа по теории)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демонстрация комплекса ОРУ,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контрольных нормативов</w:t>
            </w:r>
            <w:r/>
          </w:p>
          <w:p>
            <w:r>
              <w:t xml:space="preserve">сдача контрольных нормативов</w:t>
            </w:r>
            <w:r/>
          </w:p>
        </w:tc>
      </w:tr>
      <w:tr>
        <w:trPr>
          <w:trHeight w:val="3440"/>
        </w:trPr>
        <w:tc>
          <w:tcPr>
            <w:tcBorders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/>
          </w:p>
        </w:tc>
        <w:tc>
          <w:tcPr>
            <w:tcBorders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1.1, 1.2, П-о/с, 1.3-1.4 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2, Темы 2.1 - 2.5 П-</w:t>
            </w:r>
            <w:r/>
          </w:p>
          <w:p>
            <w:r>
              <w:t xml:space="preserve">о/c, 2.1, 2.2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rPr>
          <w:trHeight w:val="908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325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4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(контрольное упражнение)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нормативов ГТО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выполнение упражнений на</w:t>
            </w:r>
            <w:r/>
          </w:p>
        </w:tc>
      </w:tr>
      <w:tr>
        <w:trPr>
          <w:trHeight w:val="453"/>
        </w:trPr>
        <w:tc>
          <w:tcPr>
            <w:tcBorders>
              <w:top w:val="none" w:color="000000" w:sz="4" w:space="0"/>
            </w:tcBorders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</w:tcBorders>
            <w:tcW w:w="3540" w:type="dxa"/>
            <w:textDirection w:val="lrTb"/>
            <w:noWrap w:val="false"/>
          </w:tcPr>
          <w:p>
            <w:r>
              <w:t xml:space="preserve">дифференцированном зачете</w:t>
            </w:r>
            <w:r/>
          </w:p>
        </w:tc>
      </w:tr>
      <w:tr>
        <w:trPr>
          <w:trHeight w:val="582"/>
        </w:trPr>
        <w:tc>
          <w:tcPr>
            <w:tcW w:w="325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t xml:space="preserve">ПК </w:t>
            </w:r>
            <w:r>
              <w:rPr>
                <w:lang w:val="ru-RU"/>
              </w:rPr>
              <w:t xml:space="preserve">1.5</w:t>
            </w:r>
            <w:bookmarkStart w:id="8" w:name="_GoBack"/>
            <w:r/>
            <w:bookmarkEnd w:id="8"/>
            <w:r/>
            <w:r/>
          </w:p>
        </w:tc>
        <w:tc>
          <w:tcPr>
            <w:tcW w:w="2554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 1, Темы 1.3,1.4 П- о/</w:t>
            </w:r>
            <w:r>
              <w:t xml:space="preserve">c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Р2, Темы 2.1,2.2 П-о/</w:t>
            </w:r>
            <w:r>
              <w:t xml:space="preserve">c</w:t>
            </w:r>
            <w:r/>
          </w:p>
        </w:tc>
        <w:tc>
          <w:tcPr>
            <w:tcW w:w="3540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– защита презентации/доклада</w:t>
            </w:r>
            <w:r/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сдача контрольных нормативов</w:t>
            </w:r>
            <w:r/>
          </w:p>
          <w:p>
            <w:r>
              <w:t xml:space="preserve">сдача нормативов ГТО</w:t>
            </w:r>
            <w:r/>
          </w:p>
          <w:p>
            <w:r/>
            <w:r/>
          </w:p>
        </w:tc>
      </w:tr>
    </w:tbl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right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highlight w:val="yellow"/>
        </w:rPr>
        <w:br w:type="page" w:clear="all"/>
      </w:r>
      <w:bookmarkStart w:id="9" w:name="_Toc113542328"/>
      <w:r>
        <w:rPr>
          <w:rFonts w:ascii="Times New Roman" w:hAnsi="Times New Roman" w:cs="Times New Roman"/>
          <w:b/>
          <w:sz w:val="24"/>
        </w:rPr>
        <w:t xml:space="preserve">Приложение 1</w:t>
      </w:r>
      <w:bookmarkEnd w:id="9"/>
      <w:r/>
      <w:r/>
    </w:p>
    <w:p>
      <w:pPr>
        <w:spacing w:after="0" w:line="240" w:lineRule="auto"/>
        <w:widowControl w:val="off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ТЕМЫ ИНДИВИДУАЛЬНЫХ ПРОЕКТОВ</w:t>
      </w:r>
      <w:r/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культура общества и человека.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формы занятий физической культурой.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Понятие физической культуры личности.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Влияние занятий физической культурой на вредные привычки.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Ценностные ориентации индивидуальной физической деятельности.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Возможности физической культуры в развитии и формировании основных качеств и свойств личности.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Правила поведения учащихся при занятиях физическими упражнениями на уроках ФК.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нагрузка. Способы регулирования физической нагрузки.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причины травматизма во время занятий физической культурой.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Здоровый образ жизни и его реализация в современном обществе.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Здоровье человека как феномен культуры.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Задачи и организация режима дня студента. 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Значение правильной осанки для жизнедеятельности человека. 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Меры безопасности необходимые перед началом занятий по гимнастике.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Контроль и самоконтроль при занятиях физической культурой и спортом.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Правила формирования правильной осанки.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Особенность построения и содержания самостоятельных занятий по общей физической подготовке.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Оказание первой помощи при травмах во время занятий физическими упражнениями. 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Особенности организации и проведения индивидуальных закаливающих процедур.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Значение физкультминуток для снятия интеллектуального напряжения человека.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Влияние оздоровительной физической культуры на организм человека.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Основные методики занятия физическими упражнениями.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Физическая культура и Олимпийское движение.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Понятие гиподинамии и меры по ее предупреждению.</w:t>
      </w:r>
      <w:r/>
    </w:p>
    <w:p>
      <w:pPr>
        <w:numPr>
          <w:ilvl w:val="0"/>
          <w:numId w:val="1"/>
        </w:numPr>
        <w:spacing w:after="0" w:line="240" w:lineRule="auto"/>
        <w:widowControl w:val="off"/>
        <w:rPr>
          <w:rFonts w:ascii="Times New Roman" w:hAnsi="Times New Roman" w:eastAsia="Arial" w:cs="Times New Roman"/>
          <w:sz w:val="24"/>
        </w:rPr>
      </w:pPr>
      <w:r>
        <w:rPr>
          <w:rFonts w:ascii="Times New Roman" w:hAnsi="Times New Roman" w:eastAsia="Arial" w:cs="Times New Roman"/>
          <w:sz w:val="24"/>
        </w:rPr>
        <w:t xml:space="preserve">Варианты комплексов физических работоспособности в своей будущей профессии.</w:t>
      </w:r>
      <w:r/>
    </w:p>
    <w:p>
      <w:r/>
      <w:r/>
    </w:p>
    <w:p>
      <w:r/>
      <w:r/>
    </w:p>
    <w:sectPr>
      <w:footnotePr/>
      <w:endnotePr/>
      <w:type w:val="nextPage"/>
      <w:pgSz w:w="11910" w:h="16840" w:orient="portrait"/>
      <w:pgMar w:top="1060" w:right="740" w:bottom="1160" w:left="1600" w:header="0" w:footer="96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" name="Надпись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0" o:spid="_x0000_s0" o:spt="202" type="#_x0000_t202" style="position:absolute;z-index:-251659264;o:allowoverlap:true;o:allowincell:true;mso-position-horizontal-relative:page;margin-left:544.3pt;mso-position-horizontal:absolute;mso-position-vertical-relative:page;margin-top:780.8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2"/>
      </w:rPr>
    </w:pPr>
    <w:r>
      <w:rPr>
        <w:sz w:val="2"/>
      </w:rPr>
    </w:r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1" allowOverlap="1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2" name="Надпись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8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1" o:spid="_x0000_s1" o:spt="202" type="#_x0000_t202" style="position:absolute;z-index:-251660288;o:allowoverlap:true;o:allowincell:true;mso-position-horizontal-relative:page;margin-left:776.6pt;mso-position-horizontal:absolute;mso-position-vertical-relative:page;margin-top:534.2pt;mso-position-vertical:absolute;width:11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8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20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1" allowOverlap="1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3" name="Надпись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 xml:space="preserve">9</w:t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2" o:spid="_x0000_s2" o:spt="202" type="#_x0000_t202" style="position:absolute;z-index:-251661312;o:allowoverlap:true;o:allowincell:true;mso-position-horizontal-relative:page;margin-left:546.3pt;mso-position-horizontal:absolute;mso-position-vertical-relative:page;margin-top:780.8pt;mso-position-vertical:absolute;width:7.6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 xml:space="preserve">9</w:t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14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4" name="Надпись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14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3" o:spid="_x0000_s3" o:spt="202" type="#_x0000_t202" style="position:absolute;z-index:-251662336;o:allowoverlap:true;o:allowincell:true;mso-position-horizontal-relative:page;margin-left:771.1pt;mso-position-horizontal:absolute;mso-position-vertical-relative:page;margin-top:534.2pt;mso-position-vertical:absolute;width:17.3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14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84"/>
      <w:spacing w:line="14" w:lineRule="auto"/>
      <w:rPr>
        <w:sz w:val="19"/>
      </w:rPr>
    </w:pPr>
    <w:r>
      <w:rPr>
        <w:lang w:eastAsia="ru-RU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5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17</w:t>
                          </w:r>
                          <w:r>
                            <w:fldChar w:fldCharType="end"/>
                          </w:r>
                          <w:r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shape 4" o:spid="_x0000_s4" o:spt="202" type="#_x0000_t202" style="position:absolute;z-index:-251663360;o:allowoverlap:true;o:allowincell:true;mso-position-horizontal-relative:page;margin-left:538.5pt;mso-position-horizontal:absolute;mso-position-vertical-relative:page;margin-top:780.8pt;mso-position-vertical:absolute;width:17.4pt;height:13.0pt;mso-wrap-distance-left:9.0pt;mso-wrap-distance-top:0.0pt;mso-wrap-distance-right:9.0pt;mso-wrap-distance-bottom:0.0pt;v-text-anchor:top;visibility:visible;" filled="f" stroked="f">
              <v:textbox inset="0,0,0,0">
                <w:txbxContent>
                  <w:p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17</w:t>
                    </w:r>
                    <w:r>
                      <w:fldChar w:fldCharType="end"/>
                    </w:r>
                    <w:r/>
                  </w:p>
                </w:txbxContent>
              </v:textbox>
            </v:shape>
          </w:pict>
        </mc:Fallback>
      </mc:AlternateContent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79"/>
    <w:next w:val="7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8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79"/>
    <w:next w:val="7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8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79"/>
    <w:next w:val="7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8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79"/>
    <w:next w:val="7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79"/>
    <w:next w:val="7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79"/>
    <w:next w:val="7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79"/>
    <w:next w:val="7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79"/>
    <w:next w:val="7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79"/>
    <w:next w:val="7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79"/>
    <w:next w:val="7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80"/>
    <w:link w:val="34"/>
    <w:uiPriority w:val="10"/>
    <w:rPr>
      <w:sz w:val="48"/>
      <w:szCs w:val="48"/>
    </w:rPr>
  </w:style>
  <w:style w:type="paragraph" w:styleId="36">
    <w:name w:val="Subtitle"/>
    <w:basedOn w:val="779"/>
    <w:next w:val="7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80"/>
    <w:link w:val="36"/>
    <w:uiPriority w:val="11"/>
    <w:rPr>
      <w:sz w:val="24"/>
      <w:szCs w:val="24"/>
    </w:rPr>
  </w:style>
  <w:style w:type="paragraph" w:styleId="38">
    <w:name w:val="Quote"/>
    <w:basedOn w:val="779"/>
    <w:next w:val="7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79"/>
    <w:next w:val="7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7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80"/>
    <w:link w:val="42"/>
    <w:uiPriority w:val="99"/>
  </w:style>
  <w:style w:type="paragraph" w:styleId="44">
    <w:name w:val="Footer"/>
    <w:basedOn w:val="77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80"/>
    <w:link w:val="44"/>
    <w:uiPriority w:val="99"/>
  </w:style>
  <w:style w:type="paragraph" w:styleId="46">
    <w:name w:val="Caption"/>
    <w:basedOn w:val="779"/>
    <w:next w:val="7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8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80"/>
    <w:uiPriority w:val="99"/>
    <w:unhideWhenUsed/>
    <w:rPr>
      <w:vertAlign w:val="superscript"/>
    </w:rPr>
  </w:style>
  <w:style w:type="paragraph" w:styleId="178">
    <w:name w:val="endnote text"/>
    <w:basedOn w:val="7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80"/>
    <w:uiPriority w:val="99"/>
    <w:semiHidden/>
    <w:unhideWhenUsed/>
    <w:rPr>
      <w:vertAlign w:val="superscript"/>
    </w:rPr>
  </w:style>
  <w:style w:type="paragraph" w:styleId="181">
    <w:name w:val="toc 1"/>
    <w:basedOn w:val="779"/>
    <w:next w:val="7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79"/>
    <w:next w:val="7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79"/>
    <w:next w:val="7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79"/>
    <w:next w:val="7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79"/>
    <w:next w:val="7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79"/>
    <w:next w:val="7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79"/>
    <w:next w:val="7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79"/>
    <w:next w:val="7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79"/>
    <w:next w:val="7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79"/>
    <w:next w:val="779"/>
    <w:uiPriority w:val="99"/>
    <w:unhideWhenUsed/>
    <w:pPr>
      <w:spacing w:after="0" w:afterAutospacing="0"/>
    </w:pPr>
  </w:style>
  <w:style w:type="paragraph" w:styleId="779" w:default="1">
    <w:name w:val="Normal"/>
    <w:qFormat/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table" w:styleId="783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rFonts w:ascii="Times New Roman" w:hAnsi="Times New Roman" w:cs="Times New Roman"/>
      <w:sz w:val="24"/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784">
    <w:name w:val="Body Text"/>
    <w:basedOn w:val="779"/>
    <w:link w:val="785"/>
    <w:uiPriority w:val="1"/>
    <w:qFormat/>
    <w:pPr>
      <w:spacing w:after="0" w:line="240" w:lineRule="auto"/>
      <w:widowControl w:val="off"/>
    </w:pPr>
    <w:rPr>
      <w:rFonts w:ascii="Times New Roman" w:hAnsi="Times New Roman" w:cs="Times New Roman"/>
      <w:sz w:val="28"/>
      <w:szCs w:val="28"/>
    </w:rPr>
  </w:style>
  <w:style w:type="character" w:styleId="785" w:customStyle="1">
    <w:name w:val="Основной текст Знак"/>
    <w:basedOn w:val="780"/>
    <w:link w:val="784"/>
    <w:uiPriority w:val="1"/>
    <w:rPr>
      <w:rFonts w:ascii="Times New Roman" w:hAnsi="Times New Roman" w:cs="Times New Roman"/>
      <w:sz w:val="28"/>
      <w:szCs w:val="28"/>
    </w:rPr>
  </w:style>
  <w:style w:type="paragraph" w:styleId="786" w:customStyle="1">
    <w:name w:val="ConsPlusNormal"/>
    <w:pPr>
      <w:spacing w:after="0" w:line="240" w:lineRule="auto"/>
      <w:widowControl w:val="off"/>
    </w:pPr>
    <w:rPr>
      <w:rFonts w:ascii="Arial" w:hAnsi="Arial" w:cs="Arial" w:eastAsiaTheme="minorEastAsia"/>
      <w:sz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footer" Target="footer6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ONLYOFFICE/7.3.0.184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revision>2</cp:revision>
  <dcterms:created xsi:type="dcterms:W3CDTF">2023-03-10T15:55:00Z</dcterms:created>
  <dcterms:modified xsi:type="dcterms:W3CDTF">2023-03-13T11:47:38Z</dcterms:modified>
</cp:coreProperties>
</file>